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82B18" w14:textId="77777777" w:rsidR="00E223AC" w:rsidRPr="00BF42EF" w:rsidRDefault="000E57C7" w:rsidP="00794172">
      <w:pPr>
        <w:pStyle w:val="Title"/>
        <w:jc w:val="center"/>
      </w:pPr>
      <w:r w:rsidRPr="00BF42EF">
        <w:t>Side-by-</w:t>
      </w:r>
      <w:r w:rsidR="00794172" w:rsidRPr="00BF42EF">
        <w:t xml:space="preserve">Side </w:t>
      </w:r>
      <w:r w:rsidR="002E4198" w:rsidRPr="00BF42EF">
        <w:t xml:space="preserve">Stock </w:t>
      </w:r>
      <w:r w:rsidR="00794172" w:rsidRPr="00BF42EF">
        <w:t>Comparison Outline</w:t>
      </w:r>
    </w:p>
    <w:p w14:paraId="34938DF3" w14:textId="77777777" w:rsidR="00794172" w:rsidRPr="00BF42EF" w:rsidRDefault="00794172" w:rsidP="00794172">
      <w:pPr>
        <w:rPr>
          <w:rFonts w:asciiTheme="majorHAnsi" w:hAnsiTheme="majorHAnsi"/>
          <w:sz w:val="32"/>
          <w:szCs w:val="32"/>
        </w:rPr>
      </w:pPr>
      <w:r w:rsidRPr="00BF42EF">
        <w:rPr>
          <w:rFonts w:asciiTheme="majorHAnsi" w:hAnsiTheme="majorHAnsi"/>
          <w:sz w:val="32"/>
          <w:szCs w:val="32"/>
        </w:rPr>
        <w:t>Overview</w:t>
      </w:r>
    </w:p>
    <w:p w14:paraId="61B639B6" w14:textId="4DDB1EE1" w:rsidR="005B160D" w:rsidRPr="00BF42EF" w:rsidRDefault="0030479A" w:rsidP="007941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Webinar g</w:t>
      </w:r>
      <w:r w:rsidR="00BF42EF">
        <w:rPr>
          <w:rFonts w:asciiTheme="majorHAnsi" w:hAnsiTheme="majorHAnsi"/>
        </w:rPr>
        <w:t>oals</w:t>
      </w:r>
    </w:p>
    <w:p w14:paraId="3F8EFC98" w14:textId="77777777" w:rsidR="00794172" w:rsidRPr="00BF42EF" w:rsidRDefault="00BF42EF" w:rsidP="007941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Choosing the industry/</w:t>
      </w:r>
      <w:r w:rsidR="003F4379">
        <w:rPr>
          <w:rFonts w:asciiTheme="majorHAnsi" w:hAnsiTheme="majorHAnsi"/>
        </w:rPr>
        <w:t>sector</w:t>
      </w:r>
    </w:p>
    <w:p w14:paraId="2CC50548" w14:textId="77777777" w:rsidR="006F303D" w:rsidRPr="00BF42EF" w:rsidRDefault="006F303D" w:rsidP="006F303D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</w:rPr>
      </w:pPr>
      <w:r w:rsidRPr="7584BE4A">
        <w:rPr>
          <w:rFonts w:asciiTheme="majorHAnsi" w:eastAsiaTheme="majorEastAsia" w:hAnsiTheme="majorHAnsi" w:cstheme="majorBidi"/>
        </w:rPr>
        <w:t>Efficiency and Management Screener</w:t>
      </w:r>
    </w:p>
    <w:p w14:paraId="6E676586" w14:textId="73AAD6F5" w:rsidR="00794172" w:rsidRPr="00BF42EF" w:rsidRDefault="7584BE4A" w:rsidP="7584BE4A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</w:rPr>
      </w:pPr>
      <w:r w:rsidRPr="7584BE4A">
        <w:rPr>
          <w:rFonts w:asciiTheme="majorHAnsi" w:eastAsiaTheme="majorEastAsia" w:hAnsiTheme="majorHAnsi" w:cstheme="majorBidi"/>
        </w:rPr>
        <w:t>Valuation and Growth Screener</w:t>
      </w:r>
    </w:p>
    <w:p w14:paraId="4F83FA2D" w14:textId="77777777" w:rsidR="0023374D" w:rsidRPr="00BF42EF" w:rsidRDefault="00BF42EF" w:rsidP="0023374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Webinar Goals</w:t>
      </w:r>
      <w:r w:rsidR="00843A5C">
        <w:rPr>
          <w:rFonts w:asciiTheme="majorHAnsi" w:hAnsiTheme="majorHAnsi"/>
          <w:sz w:val="32"/>
          <w:szCs w:val="32"/>
        </w:rPr>
        <w:softHyphen/>
      </w:r>
      <w:bookmarkStart w:id="0" w:name="_GoBack"/>
      <w:bookmarkEnd w:id="0"/>
    </w:p>
    <w:p w14:paraId="2716F35A" w14:textId="7764215F" w:rsidR="00E753D2" w:rsidRPr="00BF42EF" w:rsidRDefault="7584BE4A" w:rsidP="00481AF2">
      <w:pPr>
        <w:jc w:val="both"/>
        <w:rPr>
          <w:rFonts w:asciiTheme="majorHAnsi" w:hAnsiTheme="majorHAnsi"/>
        </w:rPr>
      </w:pPr>
      <w:r w:rsidRPr="7584BE4A">
        <w:rPr>
          <w:rFonts w:asciiTheme="majorHAnsi" w:eastAsiaTheme="majorEastAsia" w:hAnsiTheme="majorHAnsi" w:cstheme="majorBidi"/>
        </w:rPr>
        <w:t>The goals of this webinar are to illustrate how to use SR to analyze stocks side by side, and at the same time determine which stock between</w:t>
      </w:r>
      <w:r w:rsidR="00D53046">
        <w:rPr>
          <w:rFonts w:asciiTheme="majorHAnsi" w:eastAsiaTheme="majorEastAsia" w:hAnsiTheme="majorHAnsi" w:cstheme="majorBidi"/>
        </w:rPr>
        <w:t xml:space="preserve"> Comcast and Dish is a better pick</w:t>
      </w:r>
      <w:r w:rsidRPr="7584BE4A">
        <w:rPr>
          <w:rFonts w:asciiTheme="majorHAnsi" w:eastAsiaTheme="majorEastAsia" w:hAnsiTheme="majorHAnsi" w:cstheme="majorBidi"/>
        </w:rPr>
        <w:t xml:space="preserve">. </w:t>
      </w:r>
    </w:p>
    <w:p w14:paraId="22CB9D4D" w14:textId="77777777" w:rsidR="002E4198" w:rsidRPr="00BF42EF" w:rsidRDefault="002E4198" w:rsidP="0023374D">
      <w:pPr>
        <w:rPr>
          <w:rFonts w:asciiTheme="majorHAnsi" w:hAnsiTheme="majorHAnsi"/>
          <w:sz w:val="32"/>
          <w:szCs w:val="32"/>
        </w:rPr>
      </w:pPr>
      <w:r w:rsidRPr="00BF42EF">
        <w:rPr>
          <w:rFonts w:asciiTheme="majorHAnsi" w:hAnsiTheme="majorHAnsi"/>
          <w:sz w:val="32"/>
          <w:szCs w:val="32"/>
        </w:rPr>
        <w:t>Pick</w:t>
      </w:r>
      <w:r w:rsidR="00BF42EF">
        <w:rPr>
          <w:rFonts w:asciiTheme="majorHAnsi" w:hAnsiTheme="majorHAnsi"/>
          <w:sz w:val="32"/>
          <w:szCs w:val="32"/>
        </w:rPr>
        <w:t>ing an industry</w:t>
      </w:r>
      <w:r w:rsidR="00481AF2">
        <w:rPr>
          <w:rFonts w:asciiTheme="majorHAnsi" w:hAnsiTheme="majorHAnsi"/>
          <w:sz w:val="32"/>
          <w:szCs w:val="32"/>
        </w:rPr>
        <w:t>/sector</w:t>
      </w:r>
    </w:p>
    <w:p w14:paraId="6113EF24" w14:textId="1E0C4909" w:rsidR="00495E67" w:rsidRDefault="00D53046" w:rsidP="00481AF2">
      <w:pPr>
        <w:jc w:val="both"/>
        <w:rPr>
          <w:rFonts w:asciiTheme="majorHAnsi" w:eastAsiaTheme="majorEastAsia" w:hAnsiTheme="majorHAnsi" w:cstheme="majorBidi"/>
        </w:rPr>
      </w:pPr>
      <w:r w:rsidRPr="7584BE4A">
        <w:rPr>
          <w:rFonts w:asciiTheme="majorHAnsi" w:eastAsiaTheme="majorEastAsia" w:hAnsiTheme="majorHAnsi" w:cstheme="majorBidi"/>
        </w:rPr>
        <w:t xml:space="preserve">Comcast and Dish are in the Pay TV industry and Communication Services Sector. I discussed the industry in this </w:t>
      </w:r>
      <w:hyperlink r:id="rId9">
        <w:r w:rsidRPr="7584BE4A">
          <w:rPr>
            <w:rStyle w:val="Hyperlink"/>
            <w:rFonts w:asciiTheme="majorHAnsi" w:eastAsiaTheme="majorEastAsia" w:hAnsiTheme="majorHAnsi" w:cstheme="majorBidi"/>
          </w:rPr>
          <w:t>article</w:t>
        </w:r>
      </w:hyperlink>
      <w:r w:rsidRPr="7584BE4A">
        <w:rPr>
          <w:rFonts w:asciiTheme="majorHAnsi" w:eastAsiaTheme="majorEastAsia" w:hAnsiTheme="majorHAnsi" w:cstheme="majorBidi"/>
        </w:rPr>
        <w:t xml:space="preserve"> last week.</w:t>
      </w:r>
      <w:r>
        <w:rPr>
          <w:rFonts w:asciiTheme="majorHAnsi" w:eastAsiaTheme="majorEastAsia" w:hAnsiTheme="majorHAnsi" w:cstheme="majorBidi"/>
        </w:rPr>
        <w:t xml:space="preserve"> </w:t>
      </w:r>
      <w:r w:rsidR="7584BE4A" w:rsidRPr="7584BE4A">
        <w:rPr>
          <w:rFonts w:asciiTheme="majorHAnsi" w:eastAsiaTheme="majorEastAsia" w:hAnsiTheme="majorHAnsi" w:cstheme="majorBidi"/>
        </w:rPr>
        <w:t xml:space="preserve">Generally, it is preferable to invest in a booming industry/sector and not one that is underperforming the economy. </w:t>
      </w:r>
      <w:r w:rsidR="00D55C7F">
        <w:rPr>
          <w:rFonts w:asciiTheme="majorHAnsi" w:eastAsiaTheme="majorEastAsia" w:hAnsiTheme="majorHAnsi" w:cstheme="majorBidi"/>
        </w:rPr>
        <w:t>We’l</w:t>
      </w:r>
      <w:r w:rsidR="002C2AA5">
        <w:rPr>
          <w:rFonts w:asciiTheme="majorHAnsi" w:eastAsiaTheme="majorEastAsia" w:hAnsiTheme="majorHAnsi" w:cstheme="majorBidi"/>
        </w:rPr>
        <w:t>l use the charting tool to show:</w:t>
      </w:r>
    </w:p>
    <w:p w14:paraId="77A94E64" w14:textId="63203161" w:rsidR="003B48B6" w:rsidRDefault="003B48B6" w:rsidP="00495E67">
      <w:pPr>
        <w:pStyle w:val="ListParagraph"/>
        <w:numPr>
          <w:ilvl w:val="0"/>
          <w:numId w:val="3"/>
        </w:numPr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I</w:t>
      </w:r>
      <w:r w:rsidR="00495E67">
        <w:rPr>
          <w:rFonts w:asciiTheme="majorHAnsi" w:eastAsiaTheme="majorEastAsia" w:hAnsiTheme="majorHAnsi" w:cstheme="majorBidi"/>
        </w:rPr>
        <w:t xml:space="preserve">ndustry </w:t>
      </w:r>
      <w:r>
        <w:rPr>
          <w:rFonts w:asciiTheme="majorHAnsi" w:eastAsiaTheme="majorEastAsia" w:hAnsiTheme="majorHAnsi" w:cstheme="majorBidi"/>
        </w:rPr>
        <w:t>performance</w:t>
      </w:r>
    </w:p>
    <w:p w14:paraId="23BC1662" w14:textId="77777777" w:rsidR="003B48B6" w:rsidRDefault="003B48B6" w:rsidP="00495E67">
      <w:pPr>
        <w:pStyle w:val="ListParagraph"/>
        <w:numPr>
          <w:ilvl w:val="0"/>
          <w:numId w:val="3"/>
        </w:numPr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S</w:t>
      </w:r>
      <w:r w:rsidR="00495E67">
        <w:rPr>
          <w:rFonts w:asciiTheme="majorHAnsi" w:eastAsiaTheme="majorEastAsia" w:hAnsiTheme="majorHAnsi" w:cstheme="majorBidi"/>
        </w:rPr>
        <w:t xml:space="preserve">ector </w:t>
      </w:r>
      <w:r>
        <w:rPr>
          <w:rFonts w:asciiTheme="majorHAnsi" w:eastAsiaTheme="majorEastAsia" w:hAnsiTheme="majorHAnsi" w:cstheme="majorBidi"/>
        </w:rPr>
        <w:t xml:space="preserve">performance </w:t>
      </w:r>
    </w:p>
    <w:p w14:paraId="66F5F7DA" w14:textId="01B37AA2" w:rsidR="00495E67" w:rsidRPr="00495E67" w:rsidRDefault="00495E67" w:rsidP="00495E67">
      <w:pPr>
        <w:pStyle w:val="ListParagraph"/>
        <w:numPr>
          <w:ilvl w:val="0"/>
          <w:numId w:val="3"/>
        </w:numPr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S&amp;P 500.</w:t>
      </w:r>
    </w:p>
    <w:p w14:paraId="0ED806D9" w14:textId="2A81256A" w:rsidR="002E4198" w:rsidRDefault="7584BE4A" w:rsidP="00481AF2">
      <w:pPr>
        <w:jc w:val="both"/>
        <w:rPr>
          <w:rFonts w:asciiTheme="majorHAnsi" w:eastAsiaTheme="majorEastAsia" w:hAnsiTheme="majorHAnsi" w:cstheme="majorBidi"/>
        </w:rPr>
      </w:pPr>
      <w:r w:rsidRPr="7584BE4A">
        <w:rPr>
          <w:rFonts w:asciiTheme="majorHAnsi" w:eastAsiaTheme="majorEastAsia" w:hAnsiTheme="majorHAnsi" w:cstheme="majorBidi"/>
        </w:rPr>
        <w:t>But there are exceptions to the rule i.e. one, the stock you are picking is in a changing market and you think it is better positioned to take advantage or benefit from the change</w:t>
      </w:r>
      <w:r w:rsidR="00D53046">
        <w:rPr>
          <w:rFonts w:asciiTheme="majorHAnsi" w:eastAsiaTheme="majorEastAsia" w:hAnsiTheme="majorHAnsi" w:cstheme="majorBidi"/>
        </w:rPr>
        <w:t>,</w:t>
      </w:r>
      <w:r w:rsidRPr="7584BE4A">
        <w:rPr>
          <w:rFonts w:asciiTheme="majorHAnsi" w:eastAsiaTheme="majorEastAsia" w:hAnsiTheme="majorHAnsi" w:cstheme="majorBidi"/>
        </w:rPr>
        <w:t xml:space="preserve"> and </w:t>
      </w:r>
      <w:r w:rsidR="009107EB" w:rsidRPr="7584BE4A">
        <w:rPr>
          <w:rFonts w:asciiTheme="majorHAnsi" w:eastAsiaTheme="majorEastAsia" w:hAnsiTheme="majorHAnsi" w:cstheme="majorBidi"/>
        </w:rPr>
        <w:t>two;</w:t>
      </w:r>
      <w:r w:rsidR="00D53046">
        <w:rPr>
          <w:rFonts w:asciiTheme="majorHAnsi" w:eastAsiaTheme="majorEastAsia" w:hAnsiTheme="majorHAnsi" w:cstheme="majorBidi"/>
        </w:rPr>
        <w:t xml:space="preserve"> the stock has</w:t>
      </w:r>
      <w:r w:rsidRPr="7584BE4A">
        <w:rPr>
          <w:rFonts w:asciiTheme="majorHAnsi" w:eastAsiaTheme="majorEastAsia" w:hAnsiTheme="majorHAnsi" w:cstheme="majorBidi"/>
        </w:rPr>
        <w:t xml:space="preserve"> wide economic moat. </w:t>
      </w:r>
      <w:r w:rsidR="003B48B6">
        <w:rPr>
          <w:rFonts w:asciiTheme="majorHAnsi" w:eastAsiaTheme="majorEastAsia" w:hAnsiTheme="majorHAnsi" w:cstheme="majorBidi"/>
        </w:rPr>
        <w:t>To see what economic</w:t>
      </w:r>
      <w:r w:rsidR="002C2AA5">
        <w:rPr>
          <w:rFonts w:asciiTheme="majorHAnsi" w:eastAsiaTheme="majorEastAsia" w:hAnsiTheme="majorHAnsi" w:cstheme="majorBidi"/>
        </w:rPr>
        <w:t xml:space="preserve"> moat looks like in SR, we will:</w:t>
      </w:r>
    </w:p>
    <w:p w14:paraId="5AA8AD23" w14:textId="6B97A62D" w:rsidR="003B48B6" w:rsidRDefault="003B48B6" w:rsidP="00495E6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Use Industry Vs. Sector Vs S&amp;P 500 view</w:t>
      </w:r>
    </w:p>
    <w:p w14:paraId="6234A20F" w14:textId="1F1D63C3" w:rsidR="00495E67" w:rsidRPr="00D55C7F" w:rsidRDefault="003B48B6" w:rsidP="00D55C7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Use </w:t>
      </w:r>
      <w:r w:rsidR="00D55C7F">
        <w:rPr>
          <w:rFonts w:asciiTheme="majorHAnsi" w:hAnsiTheme="majorHAnsi"/>
        </w:rPr>
        <w:t xml:space="preserve">historical </w:t>
      </w:r>
      <w:r>
        <w:rPr>
          <w:rFonts w:asciiTheme="majorHAnsi" w:hAnsiTheme="majorHAnsi"/>
        </w:rPr>
        <w:t>r</w:t>
      </w:r>
      <w:r w:rsidR="00495E67">
        <w:rPr>
          <w:rFonts w:asciiTheme="majorHAnsi" w:hAnsiTheme="majorHAnsi"/>
        </w:rPr>
        <w:t xml:space="preserve">eturn metrics </w:t>
      </w:r>
    </w:p>
    <w:p w14:paraId="56004947" w14:textId="77777777" w:rsidR="00E8251F" w:rsidRDefault="00E8251F" w:rsidP="00E8251F">
      <w:pPr>
        <w:jc w:val="both"/>
        <w:rPr>
          <w:rFonts w:asciiTheme="majorHAnsi" w:eastAsiaTheme="majorEastAsia" w:hAnsiTheme="majorHAnsi" w:cstheme="majorBidi"/>
          <w:sz w:val="32"/>
          <w:szCs w:val="32"/>
        </w:rPr>
      </w:pPr>
      <w:r w:rsidRPr="7ACFC592">
        <w:rPr>
          <w:rFonts w:asciiTheme="majorHAnsi" w:eastAsiaTheme="majorEastAsia" w:hAnsiTheme="majorHAnsi" w:cstheme="majorBidi"/>
          <w:sz w:val="32"/>
          <w:szCs w:val="32"/>
        </w:rPr>
        <w:t>Efficiency and Management Screener</w:t>
      </w:r>
    </w:p>
    <w:p w14:paraId="334905D2" w14:textId="24B5F924" w:rsidR="002C2AA5" w:rsidRPr="0030479A" w:rsidRDefault="002C2AA5" w:rsidP="00E8251F">
      <w:pPr>
        <w:jc w:val="both"/>
        <w:rPr>
          <w:rFonts w:ascii="Cambria" w:hAnsi="Cambria"/>
        </w:rPr>
      </w:pPr>
      <w:r w:rsidRPr="0030479A">
        <w:rPr>
          <w:rFonts w:ascii="Cambria" w:hAnsi="Cambria"/>
        </w:rPr>
        <w:t>The efficiency</w:t>
      </w:r>
      <w:r w:rsidR="00E8251F" w:rsidRPr="0030479A">
        <w:rPr>
          <w:rFonts w:ascii="Cambria" w:hAnsi="Cambria"/>
        </w:rPr>
        <w:t xml:space="preserve"> and management screener will show us which company is more efficient and has better management</w:t>
      </w:r>
      <w:r w:rsidRPr="0030479A">
        <w:rPr>
          <w:rFonts w:ascii="Cambria" w:hAnsi="Cambria"/>
        </w:rPr>
        <w:t>, at least according to quantitative factors</w:t>
      </w:r>
      <w:r w:rsidR="00E8251F" w:rsidRPr="0030479A">
        <w:rPr>
          <w:rFonts w:ascii="Cambria" w:hAnsi="Cambria"/>
        </w:rPr>
        <w:t>. Under efficiency, our goal is find out which company is more efficient at running its business (operational efficiency) and which is a better employer of capital (capital efficiency). Under management, we will attempt to gauge which company has better management</w:t>
      </w:r>
      <w:r w:rsidR="006E586A" w:rsidRPr="0030479A">
        <w:rPr>
          <w:rFonts w:ascii="Cambria" w:hAnsi="Cambria"/>
        </w:rPr>
        <w:t xml:space="preserve"> i.e. which</w:t>
      </w:r>
      <w:r w:rsidRPr="0030479A">
        <w:rPr>
          <w:rFonts w:ascii="Cambria" w:hAnsi="Cambria"/>
        </w:rPr>
        <w:t xml:space="preserve"> management’s </w:t>
      </w:r>
      <w:r w:rsidR="006E586A" w:rsidRPr="0030479A">
        <w:rPr>
          <w:rFonts w:ascii="Cambria" w:hAnsi="Cambria"/>
        </w:rPr>
        <w:t xml:space="preserve">interests are </w:t>
      </w:r>
      <w:r w:rsidRPr="0030479A">
        <w:rPr>
          <w:rFonts w:ascii="Cambria" w:hAnsi="Cambria"/>
        </w:rPr>
        <w:t xml:space="preserve">better </w:t>
      </w:r>
      <w:r w:rsidR="006E586A" w:rsidRPr="0030479A">
        <w:rPr>
          <w:rFonts w:ascii="Cambria" w:hAnsi="Cambria"/>
        </w:rPr>
        <w:t>aligned with those of shareholders</w:t>
      </w:r>
      <w:r w:rsidR="00E8251F" w:rsidRPr="0030479A">
        <w:rPr>
          <w:rFonts w:ascii="Cambria" w:hAnsi="Cambria"/>
        </w:rPr>
        <w:t>. The screener will be equally weighted between efficiency and management metr</w:t>
      </w:r>
      <w:r w:rsidR="0030479A" w:rsidRPr="0030479A">
        <w:rPr>
          <w:rFonts w:ascii="Cambria" w:hAnsi="Cambria"/>
        </w:rPr>
        <w:t>ics.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970"/>
        <w:gridCol w:w="2880"/>
      </w:tblGrid>
      <w:tr w:rsidR="006F303D" w14:paraId="4D8D0F5D" w14:textId="77777777" w:rsidTr="00A3034E">
        <w:tc>
          <w:tcPr>
            <w:tcW w:w="5850" w:type="dxa"/>
            <w:gridSpan w:val="2"/>
          </w:tcPr>
          <w:p w14:paraId="21657D85" w14:textId="2F4C8AD1" w:rsidR="006F303D" w:rsidRDefault="006F303D" w:rsidP="00D55C7F">
            <w:pPr>
              <w:jc w:val="center"/>
            </w:pPr>
            <w:r w:rsidRPr="7ACFC592">
              <w:rPr>
                <w:rFonts w:asciiTheme="majorHAnsi" w:eastAsiaTheme="majorEastAsia" w:hAnsiTheme="majorHAnsi" w:cstheme="majorBidi"/>
              </w:rPr>
              <w:t>Weight Distribution</w:t>
            </w:r>
          </w:p>
        </w:tc>
      </w:tr>
      <w:tr w:rsidR="00E8251F" w14:paraId="3CDD25EF" w14:textId="77777777" w:rsidTr="00B04BA2">
        <w:tc>
          <w:tcPr>
            <w:tcW w:w="2970" w:type="dxa"/>
          </w:tcPr>
          <w:p w14:paraId="37933788" w14:textId="77777777" w:rsidR="00E8251F" w:rsidRDefault="00E8251F" w:rsidP="00D55C7F">
            <w:pPr>
              <w:jc w:val="both"/>
            </w:pPr>
            <w:r w:rsidRPr="7ACFC592">
              <w:rPr>
                <w:rFonts w:asciiTheme="majorHAnsi" w:eastAsiaTheme="majorEastAsia" w:hAnsiTheme="majorHAnsi" w:cstheme="majorBidi"/>
              </w:rPr>
              <w:t>Efficiency Metrics</w:t>
            </w:r>
          </w:p>
        </w:tc>
        <w:tc>
          <w:tcPr>
            <w:tcW w:w="2880" w:type="dxa"/>
          </w:tcPr>
          <w:p w14:paraId="25C62098" w14:textId="77777777" w:rsidR="00E8251F" w:rsidRDefault="00E8251F" w:rsidP="00D55C7F">
            <w:pPr>
              <w:jc w:val="center"/>
            </w:pPr>
            <w:r w:rsidRPr="7ACFC592">
              <w:rPr>
                <w:rFonts w:asciiTheme="majorHAnsi" w:eastAsiaTheme="majorEastAsia" w:hAnsiTheme="majorHAnsi" w:cstheme="majorBidi"/>
              </w:rPr>
              <w:t>50%</w:t>
            </w:r>
          </w:p>
        </w:tc>
      </w:tr>
      <w:tr w:rsidR="00E8251F" w14:paraId="0AC6CF7F" w14:textId="77777777" w:rsidTr="00B04BA2">
        <w:tc>
          <w:tcPr>
            <w:tcW w:w="2970" w:type="dxa"/>
          </w:tcPr>
          <w:p w14:paraId="0B051CF1" w14:textId="77777777" w:rsidR="00E8251F" w:rsidRDefault="00E8251F" w:rsidP="00D55C7F">
            <w:pPr>
              <w:jc w:val="both"/>
            </w:pPr>
            <w:r w:rsidRPr="7ACFC592">
              <w:rPr>
                <w:rFonts w:asciiTheme="majorHAnsi" w:eastAsiaTheme="majorEastAsia" w:hAnsiTheme="majorHAnsi" w:cstheme="majorBidi"/>
              </w:rPr>
              <w:t>Management Metrics</w:t>
            </w:r>
          </w:p>
        </w:tc>
        <w:tc>
          <w:tcPr>
            <w:tcW w:w="2880" w:type="dxa"/>
          </w:tcPr>
          <w:p w14:paraId="5E33F83B" w14:textId="77777777" w:rsidR="00E8251F" w:rsidRDefault="00E8251F" w:rsidP="00D55C7F">
            <w:pPr>
              <w:jc w:val="center"/>
            </w:pPr>
            <w:r w:rsidRPr="7ACFC592">
              <w:rPr>
                <w:rFonts w:asciiTheme="majorHAnsi" w:eastAsiaTheme="majorEastAsia" w:hAnsiTheme="majorHAnsi" w:cstheme="majorBidi"/>
              </w:rPr>
              <w:t>50%</w:t>
            </w:r>
          </w:p>
        </w:tc>
      </w:tr>
      <w:tr w:rsidR="00E8251F" w14:paraId="17BDDACD" w14:textId="77777777" w:rsidTr="00B04BA2">
        <w:tc>
          <w:tcPr>
            <w:tcW w:w="2970" w:type="dxa"/>
          </w:tcPr>
          <w:p w14:paraId="0812E95F" w14:textId="77777777" w:rsidR="00E8251F" w:rsidRDefault="00E8251F" w:rsidP="00D55C7F">
            <w:pPr>
              <w:jc w:val="both"/>
            </w:pPr>
            <w:r w:rsidRPr="7ACFC592">
              <w:rPr>
                <w:rFonts w:asciiTheme="majorHAnsi" w:eastAsiaTheme="majorEastAsia" w:hAnsiTheme="majorHAnsi" w:cstheme="majorBidi"/>
              </w:rPr>
              <w:t>Total</w:t>
            </w:r>
          </w:p>
        </w:tc>
        <w:tc>
          <w:tcPr>
            <w:tcW w:w="2880" w:type="dxa"/>
          </w:tcPr>
          <w:p w14:paraId="588F97C2" w14:textId="77777777" w:rsidR="00E8251F" w:rsidRDefault="00E8251F" w:rsidP="00D55C7F">
            <w:pPr>
              <w:jc w:val="center"/>
            </w:pPr>
            <w:r w:rsidRPr="7ACFC592">
              <w:rPr>
                <w:rFonts w:asciiTheme="majorHAnsi" w:eastAsiaTheme="majorEastAsia" w:hAnsiTheme="majorHAnsi" w:cstheme="majorBidi"/>
              </w:rPr>
              <w:t>100%</w:t>
            </w:r>
          </w:p>
        </w:tc>
      </w:tr>
    </w:tbl>
    <w:p w14:paraId="5EB706E2" w14:textId="77777777" w:rsidR="00D55C7F" w:rsidRDefault="00D55C7F" w:rsidP="00D55C7F">
      <w:pPr>
        <w:pStyle w:val="NoSpacing"/>
        <w:ind w:left="720"/>
      </w:pPr>
    </w:p>
    <w:p w14:paraId="15AB96CB" w14:textId="2C5554ED" w:rsidR="001879CE" w:rsidRPr="0030479A" w:rsidRDefault="0030479A" w:rsidP="0030479A">
      <w:pPr>
        <w:pStyle w:val="NoSpacing"/>
        <w:rPr>
          <w:rFonts w:ascii="Cambria" w:hAnsi="Cambria"/>
        </w:rPr>
      </w:pPr>
      <w:r>
        <w:rPr>
          <w:rFonts w:ascii="Cambria" w:hAnsi="Cambria"/>
        </w:rPr>
        <w:t>Screener details are shown below:</w:t>
      </w:r>
    </w:p>
    <w:p w14:paraId="63D378C4" w14:textId="77777777" w:rsidR="00D55C7F" w:rsidRDefault="00D55C7F" w:rsidP="00D55C7F">
      <w:pPr>
        <w:pStyle w:val="NoSpacing"/>
        <w:ind w:left="720"/>
      </w:pPr>
    </w:p>
    <w:p w14:paraId="5FEF640B" w14:textId="77777777" w:rsidR="00E8251F" w:rsidRDefault="00E8251F" w:rsidP="00E8251F">
      <w:pPr>
        <w:jc w:val="center"/>
        <w:rPr>
          <w:rFonts w:asciiTheme="majorHAnsi" w:hAnsiTheme="majorHAnsi"/>
        </w:rPr>
      </w:pPr>
      <w:r>
        <w:rPr>
          <w:noProof/>
        </w:rPr>
        <w:lastRenderedPageBreak/>
        <w:drawing>
          <wp:inline distT="0" distB="0" distL="0" distR="0" wp14:anchorId="7DDDDCE6" wp14:editId="2E3BE5D4">
            <wp:extent cx="4153265" cy="5025542"/>
            <wp:effectExtent l="0" t="0" r="0" b="3810"/>
            <wp:docPr id="23821144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0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A801" w14:textId="048DBC3C" w:rsidR="0030479A" w:rsidRPr="0030479A" w:rsidRDefault="0030479A" w:rsidP="0030479A">
      <w:pPr>
        <w:pStyle w:val="NoSpacing"/>
        <w:rPr>
          <w:rFonts w:ascii="Cambria" w:hAnsi="Cambria"/>
        </w:rPr>
      </w:pPr>
      <w:r w:rsidRPr="0030479A">
        <w:rPr>
          <w:rFonts w:ascii="Cambria" w:hAnsi="Cambria"/>
        </w:rPr>
        <w:t xml:space="preserve">We will use </w:t>
      </w:r>
      <w:r>
        <w:rPr>
          <w:rFonts w:ascii="Cambria" w:hAnsi="Cambria"/>
        </w:rPr>
        <w:t xml:space="preserve">this </w:t>
      </w:r>
      <w:r w:rsidRPr="0030479A">
        <w:rPr>
          <w:rFonts w:ascii="Cambria" w:hAnsi="Cambria"/>
        </w:rPr>
        <w:t>screener ranking and table metrics to analyze operational and</w:t>
      </w:r>
      <w:r>
        <w:rPr>
          <w:rFonts w:ascii="Cambria" w:hAnsi="Cambria"/>
        </w:rPr>
        <w:t xml:space="preserve"> capital efficiency metrics and </w:t>
      </w:r>
      <w:r w:rsidRPr="0030479A">
        <w:rPr>
          <w:rFonts w:ascii="Cambria" w:hAnsi="Cambria"/>
        </w:rPr>
        <w:t xml:space="preserve">charts to show trends over time. </w:t>
      </w:r>
    </w:p>
    <w:p w14:paraId="60A7CE27" w14:textId="77777777" w:rsidR="0030479A" w:rsidRDefault="0030479A" w:rsidP="00E8251F">
      <w:pPr>
        <w:jc w:val="center"/>
        <w:rPr>
          <w:rFonts w:asciiTheme="majorHAnsi" w:hAnsiTheme="majorHAnsi"/>
        </w:rPr>
      </w:pPr>
    </w:p>
    <w:p w14:paraId="56FA60D4" w14:textId="6CECC113" w:rsidR="7ACFC592" w:rsidRDefault="7ACFC592" w:rsidP="7ACFC592">
      <w:pPr>
        <w:spacing w:before="240"/>
      </w:pPr>
      <w:r w:rsidRPr="7ACFC592">
        <w:rPr>
          <w:rFonts w:asciiTheme="majorHAnsi" w:eastAsiaTheme="majorEastAsia" w:hAnsiTheme="majorHAnsi" w:cstheme="majorBidi"/>
          <w:sz w:val="32"/>
          <w:szCs w:val="32"/>
        </w:rPr>
        <w:t>Valuation and Growth Screener</w:t>
      </w:r>
    </w:p>
    <w:p w14:paraId="0DEED95E" w14:textId="2516DAD2" w:rsidR="002C2AA5" w:rsidRDefault="009107EB" w:rsidP="002E41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Similar to </w:t>
      </w:r>
      <w:r w:rsidR="002C2AA5">
        <w:rPr>
          <w:rFonts w:asciiTheme="majorHAnsi" w:hAnsiTheme="majorHAnsi"/>
        </w:rPr>
        <w:t>the Efficiency and Management s</w:t>
      </w:r>
      <w:r>
        <w:rPr>
          <w:rFonts w:asciiTheme="majorHAnsi" w:hAnsiTheme="majorHAnsi"/>
        </w:rPr>
        <w:t xml:space="preserve">creener, the Valuation and Growth </w:t>
      </w:r>
      <w:r w:rsidR="002E4198" w:rsidRPr="00BF42EF">
        <w:rPr>
          <w:rFonts w:asciiTheme="majorHAnsi" w:hAnsiTheme="majorHAnsi"/>
        </w:rPr>
        <w:t>screener will be equally weighted between valuation and growth metrics</w:t>
      </w:r>
      <w:r>
        <w:rPr>
          <w:rFonts w:asciiTheme="majorHAnsi" w:hAnsiTheme="majorHAnsi"/>
        </w:rPr>
        <w:t xml:space="preserve"> as shown below</w:t>
      </w:r>
      <w:r w:rsidR="002E4198" w:rsidRPr="00BF42EF">
        <w:rPr>
          <w:rFonts w:asciiTheme="majorHAnsi" w:hAnsiTheme="majorHAnsi"/>
        </w:rPr>
        <w:t xml:space="preserve">. 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970"/>
        <w:gridCol w:w="2880"/>
      </w:tblGrid>
      <w:tr w:rsidR="004F0001" w14:paraId="333CC695" w14:textId="77777777" w:rsidTr="7ACFC592">
        <w:tc>
          <w:tcPr>
            <w:tcW w:w="5850" w:type="dxa"/>
            <w:gridSpan w:val="2"/>
          </w:tcPr>
          <w:p w14:paraId="5B58A62D" w14:textId="77777777" w:rsidR="004F0001" w:rsidRDefault="004F0001" w:rsidP="004F00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Weight Distribution</w:t>
            </w:r>
          </w:p>
        </w:tc>
      </w:tr>
      <w:tr w:rsidR="004F0001" w14:paraId="521869DB" w14:textId="77777777" w:rsidTr="7ACFC592">
        <w:tc>
          <w:tcPr>
            <w:tcW w:w="2970" w:type="dxa"/>
          </w:tcPr>
          <w:p w14:paraId="35221C9F" w14:textId="77777777" w:rsidR="004F0001" w:rsidRDefault="004F0001" w:rsidP="002E419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Valuation Metrics</w:t>
            </w:r>
          </w:p>
        </w:tc>
        <w:tc>
          <w:tcPr>
            <w:tcW w:w="2880" w:type="dxa"/>
          </w:tcPr>
          <w:p w14:paraId="4F7E68ED" w14:textId="77777777" w:rsidR="004F0001" w:rsidRDefault="004F0001" w:rsidP="004F00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50%</w:t>
            </w:r>
          </w:p>
        </w:tc>
      </w:tr>
      <w:tr w:rsidR="004F0001" w14:paraId="748B4FB0" w14:textId="77777777" w:rsidTr="7ACFC592">
        <w:tc>
          <w:tcPr>
            <w:tcW w:w="2970" w:type="dxa"/>
          </w:tcPr>
          <w:p w14:paraId="4D779993" w14:textId="77777777" w:rsidR="004F0001" w:rsidRDefault="004F0001" w:rsidP="002E419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Growth Metrics</w:t>
            </w:r>
          </w:p>
        </w:tc>
        <w:tc>
          <w:tcPr>
            <w:tcW w:w="2880" w:type="dxa"/>
          </w:tcPr>
          <w:p w14:paraId="6AD58CB0" w14:textId="77777777" w:rsidR="004F0001" w:rsidRDefault="004F0001" w:rsidP="004F00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50%</w:t>
            </w:r>
          </w:p>
        </w:tc>
      </w:tr>
      <w:tr w:rsidR="004F0001" w14:paraId="3FFC144C" w14:textId="77777777" w:rsidTr="7ACFC592">
        <w:tc>
          <w:tcPr>
            <w:tcW w:w="2970" w:type="dxa"/>
          </w:tcPr>
          <w:p w14:paraId="7A3F3D9F" w14:textId="77777777" w:rsidR="004F0001" w:rsidRDefault="004F0001" w:rsidP="002E419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2880" w:type="dxa"/>
          </w:tcPr>
          <w:p w14:paraId="344B2E37" w14:textId="77777777" w:rsidR="004F0001" w:rsidRDefault="004F0001" w:rsidP="004F00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100%</w:t>
            </w:r>
          </w:p>
        </w:tc>
      </w:tr>
    </w:tbl>
    <w:p w14:paraId="0A269321" w14:textId="71F2024D" w:rsidR="7ACFC592" w:rsidRDefault="7ACFC592" w:rsidP="7ACFC592">
      <w:pPr>
        <w:jc w:val="both"/>
      </w:pPr>
    </w:p>
    <w:p w14:paraId="3AF59BF2" w14:textId="70D97965" w:rsidR="000544FF" w:rsidRDefault="009107EB" w:rsidP="000544F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With this screener, our ai</w:t>
      </w:r>
      <w:r w:rsidR="002C2AA5">
        <w:rPr>
          <w:rFonts w:asciiTheme="majorHAnsi" w:hAnsiTheme="majorHAnsi"/>
        </w:rPr>
        <w:t xml:space="preserve">m is to find out which company, </w:t>
      </w:r>
      <w:r>
        <w:rPr>
          <w:rFonts w:asciiTheme="majorHAnsi" w:hAnsiTheme="majorHAnsi"/>
        </w:rPr>
        <w:t xml:space="preserve">between Dish and Comcast, is not only undervalued but also has significant growth potential. </w:t>
      </w:r>
      <w:r w:rsidR="000544FF">
        <w:rPr>
          <w:rFonts w:asciiTheme="majorHAnsi" w:hAnsiTheme="majorHAnsi"/>
        </w:rPr>
        <w:t xml:space="preserve">The specific weights of the individual metrics are shown below: </w:t>
      </w:r>
      <w:r>
        <w:rPr>
          <w:rFonts w:asciiTheme="majorHAnsi" w:hAnsiTheme="majorHAnsi"/>
        </w:rPr>
        <w:t xml:space="preserve"> </w:t>
      </w:r>
    </w:p>
    <w:p w14:paraId="5E8A13E3" w14:textId="77777777" w:rsidR="002C2AA5" w:rsidRDefault="00E8518D" w:rsidP="002C2AA5">
      <w:pPr>
        <w:jc w:val="center"/>
        <w:rPr>
          <w:rFonts w:asciiTheme="majorHAnsi" w:hAnsiTheme="majorHAnsi"/>
        </w:rPr>
      </w:pPr>
      <w:r>
        <w:rPr>
          <w:noProof/>
        </w:rPr>
        <w:lastRenderedPageBreak/>
        <w:drawing>
          <wp:inline distT="0" distB="0" distL="0" distR="0" wp14:anchorId="1CF99A4D" wp14:editId="1DF08333">
            <wp:extent cx="4307847" cy="580095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6400" cy="57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EB27" w14:textId="41DAA53A" w:rsidR="001F35E9" w:rsidRPr="002C2AA5" w:rsidRDefault="001F35E9" w:rsidP="002C2AA5">
      <w:pPr>
        <w:rPr>
          <w:rFonts w:asciiTheme="majorHAnsi" w:hAnsiTheme="majorHAnsi"/>
        </w:rPr>
      </w:pPr>
      <w:r w:rsidRPr="002C2AA5">
        <w:rPr>
          <w:rFonts w:asciiTheme="majorHAnsi" w:hAnsiTheme="majorHAnsi"/>
        </w:rPr>
        <w:t xml:space="preserve">We will </w:t>
      </w:r>
      <w:r w:rsidR="002C2AA5">
        <w:rPr>
          <w:rFonts w:asciiTheme="majorHAnsi" w:hAnsiTheme="majorHAnsi"/>
        </w:rPr>
        <w:t xml:space="preserve">then </w:t>
      </w:r>
      <w:r w:rsidRPr="002C2AA5">
        <w:rPr>
          <w:rFonts w:asciiTheme="majorHAnsi" w:hAnsiTheme="majorHAnsi"/>
        </w:rPr>
        <w:t>use metric</w:t>
      </w:r>
      <w:r w:rsidR="002C2AA5">
        <w:rPr>
          <w:rFonts w:asciiTheme="majorHAnsi" w:hAnsiTheme="majorHAnsi"/>
        </w:rPr>
        <w:t xml:space="preserve"> package</w:t>
      </w:r>
      <w:r w:rsidRPr="002C2AA5">
        <w:rPr>
          <w:rFonts w:asciiTheme="majorHAnsi" w:hAnsiTheme="majorHAnsi"/>
        </w:rPr>
        <w:t xml:space="preserve">s </w:t>
      </w:r>
      <w:r w:rsidR="002C2AA5">
        <w:rPr>
          <w:rFonts w:asciiTheme="majorHAnsi" w:hAnsiTheme="majorHAnsi"/>
        </w:rPr>
        <w:t>and charting to</w:t>
      </w:r>
      <w:r w:rsidRPr="002C2AA5">
        <w:rPr>
          <w:rFonts w:asciiTheme="majorHAnsi" w:hAnsiTheme="majorHAnsi"/>
        </w:rPr>
        <w:t xml:space="preserve"> </w:t>
      </w:r>
      <w:r w:rsidR="00A36C2F" w:rsidRPr="002C2AA5">
        <w:rPr>
          <w:rFonts w:asciiTheme="majorHAnsi" w:hAnsiTheme="majorHAnsi"/>
        </w:rPr>
        <w:t>analyze valuation metrics.</w:t>
      </w:r>
    </w:p>
    <w:p w14:paraId="42FC394E" w14:textId="69EB51CC" w:rsidR="0030479A" w:rsidRDefault="0030479A" w:rsidP="00934B19">
      <w:pPr>
        <w:jc w:val="both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>Additional Resources</w:t>
      </w:r>
    </w:p>
    <w:p w14:paraId="3B974DDF" w14:textId="4109AC05" w:rsidR="0030479A" w:rsidRDefault="0030479A" w:rsidP="0030479A">
      <w:pPr>
        <w:pStyle w:val="NoSpacing"/>
        <w:rPr>
          <w:rFonts w:ascii="Cambria" w:hAnsi="Cambria"/>
        </w:rPr>
      </w:pPr>
      <w:r>
        <w:rPr>
          <w:rFonts w:ascii="Cambria" w:hAnsi="Cambria"/>
        </w:rPr>
        <w:t>For more examples of comparison in Stock Rover and program tutorials, see:</w:t>
      </w:r>
    </w:p>
    <w:p w14:paraId="30AD2000" w14:textId="77777777" w:rsidR="0030479A" w:rsidRDefault="0030479A" w:rsidP="0030479A">
      <w:pPr>
        <w:pStyle w:val="NoSpacing"/>
        <w:rPr>
          <w:rFonts w:ascii="Cambria" w:hAnsi="Cambria"/>
        </w:rPr>
      </w:pPr>
    </w:p>
    <w:p w14:paraId="20EBCE9D" w14:textId="3F5C2150" w:rsidR="0030479A" w:rsidRDefault="0030479A" w:rsidP="0030479A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hyperlink r:id="rId12" w:history="1">
        <w:r w:rsidRPr="0030479A">
          <w:rPr>
            <w:rStyle w:val="Hyperlink"/>
            <w:rFonts w:ascii="Cambria" w:hAnsi="Cambria"/>
          </w:rPr>
          <w:t xml:space="preserve">March </w:t>
        </w:r>
        <w:proofErr w:type="spellStart"/>
        <w:r w:rsidRPr="0030479A">
          <w:rPr>
            <w:rStyle w:val="Hyperlink"/>
            <w:rFonts w:ascii="Cambria" w:hAnsi="Cambria"/>
          </w:rPr>
          <w:t>Midness</w:t>
        </w:r>
        <w:proofErr w:type="spellEnd"/>
        <w:r w:rsidRPr="0030479A">
          <w:rPr>
            <w:rStyle w:val="Hyperlink"/>
            <w:rFonts w:ascii="Cambria" w:hAnsi="Cambria"/>
          </w:rPr>
          <w:t>! A Mid Cap Stock Tournament</w:t>
        </w:r>
      </w:hyperlink>
      <w:r>
        <w:rPr>
          <w:rFonts w:ascii="Cambria" w:hAnsi="Cambria"/>
        </w:rPr>
        <w:t xml:space="preserve"> (video and blog post)</w:t>
      </w:r>
    </w:p>
    <w:p w14:paraId="39D93E46" w14:textId="77777777" w:rsidR="0030479A" w:rsidRDefault="00615AEF" w:rsidP="00934B19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hyperlink r:id="rId13" w:history="1">
        <w:r w:rsidR="0030479A" w:rsidRPr="0030479A">
          <w:rPr>
            <w:rStyle w:val="Hyperlink"/>
            <w:rFonts w:ascii="Cambria" w:hAnsi="Cambria"/>
          </w:rPr>
          <w:t>KORS vs. COH vs. KATE: The Battle of the Brands</w:t>
        </w:r>
      </w:hyperlink>
      <w:r w:rsidR="0030479A">
        <w:rPr>
          <w:rFonts w:ascii="Cambria" w:hAnsi="Cambria"/>
        </w:rPr>
        <w:t xml:space="preserve"> (blog post)</w:t>
      </w:r>
    </w:p>
    <w:p w14:paraId="557D7E0C" w14:textId="7A324D78" w:rsidR="0030479A" w:rsidRDefault="00615AEF" w:rsidP="00934B19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hyperlink r:id="rId14" w:history="1">
        <w:r w:rsidR="0030479A" w:rsidRPr="0030479A">
          <w:rPr>
            <w:rStyle w:val="Hyperlink"/>
            <w:rFonts w:ascii="Cambria" w:hAnsi="Cambria"/>
          </w:rPr>
          <w:t>Panera vs. Chipotle: Where Should an Investor Dine?</w:t>
        </w:r>
      </w:hyperlink>
      <w:r w:rsidR="0030479A">
        <w:rPr>
          <w:rFonts w:ascii="Cambria" w:hAnsi="Cambria"/>
        </w:rPr>
        <w:t xml:space="preserve"> (blog post)</w:t>
      </w:r>
    </w:p>
    <w:p w14:paraId="76D2DF70" w14:textId="6B436E9E" w:rsidR="0030479A" w:rsidRDefault="00615AEF" w:rsidP="00934B19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hyperlink r:id="rId15" w:history="1">
        <w:r w:rsidR="0030479A" w:rsidRPr="0030479A">
          <w:rPr>
            <w:rStyle w:val="Hyperlink"/>
            <w:rFonts w:ascii="Cambria" w:hAnsi="Cambria"/>
          </w:rPr>
          <w:t>Stock Rover Help Pages</w:t>
        </w:r>
      </w:hyperlink>
    </w:p>
    <w:p w14:paraId="14F7888E" w14:textId="368EDAFF" w:rsidR="0030479A" w:rsidRPr="0030479A" w:rsidRDefault="00615AEF" w:rsidP="00934B19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hyperlink r:id="rId16" w:history="1">
        <w:r w:rsidR="0030479A" w:rsidRPr="0030479A">
          <w:rPr>
            <w:rStyle w:val="Hyperlink"/>
            <w:rFonts w:ascii="Cambria" w:hAnsi="Cambria"/>
          </w:rPr>
          <w:t>Stock Rover Video Library</w:t>
        </w:r>
      </w:hyperlink>
    </w:p>
    <w:sectPr w:rsidR="0030479A" w:rsidRPr="0030479A" w:rsidSect="00D55C7F">
      <w:footerReference w:type="default" r:id="rId1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4E079" w14:textId="77777777" w:rsidR="00615AEF" w:rsidRDefault="00615AEF" w:rsidP="00E8518D">
      <w:pPr>
        <w:spacing w:after="0" w:line="240" w:lineRule="auto"/>
      </w:pPr>
      <w:r>
        <w:separator/>
      </w:r>
    </w:p>
  </w:endnote>
  <w:endnote w:type="continuationSeparator" w:id="0">
    <w:p w14:paraId="7081C4D0" w14:textId="77777777" w:rsidR="00615AEF" w:rsidRDefault="00615AEF" w:rsidP="00E8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CF1EC" w14:textId="6D083B16" w:rsidR="00E8518D" w:rsidRDefault="00E8518D" w:rsidP="0030479A">
    <w:pPr>
      <w:ind w:right="260"/>
      <w:jc w:val="center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w:drawing>
        <wp:inline distT="0" distB="0" distL="0" distR="0" wp14:anchorId="6FCFA40A" wp14:editId="2975BBE5">
          <wp:extent cx="1220182" cy="420370"/>
          <wp:effectExtent l="0" t="0" r="0" b="1143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-logo NEW-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272" cy="42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9DA61" wp14:editId="60DB877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2956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746AA" w14:textId="77777777" w:rsidR="00E8518D" w:rsidRDefault="00E8518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D434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0;margin-top:0;width:30.6pt;height:25.9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0A2746AA" w14:textId="77777777" w:rsidR="00E8518D" w:rsidRDefault="00E8518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D434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CACA78" w14:textId="77777777" w:rsidR="00E8518D" w:rsidRDefault="00E85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F0C88" w14:textId="77777777" w:rsidR="00615AEF" w:rsidRDefault="00615AEF" w:rsidP="00E8518D">
      <w:pPr>
        <w:spacing w:after="0" w:line="240" w:lineRule="auto"/>
      </w:pPr>
      <w:r>
        <w:separator/>
      </w:r>
    </w:p>
  </w:footnote>
  <w:footnote w:type="continuationSeparator" w:id="0">
    <w:p w14:paraId="5F6660DD" w14:textId="77777777" w:rsidR="00615AEF" w:rsidRDefault="00615AEF" w:rsidP="00E8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6A2"/>
    <w:multiLevelType w:val="hybridMultilevel"/>
    <w:tmpl w:val="448C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413A"/>
    <w:multiLevelType w:val="hybridMultilevel"/>
    <w:tmpl w:val="0D22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75B76"/>
    <w:multiLevelType w:val="hybridMultilevel"/>
    <w:tmpl w:val="10A0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866FB"/>
    <w:multiLevelType w:val="hybridMultilevel"/>
    <w:tmpl w:val="1612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76CD"/>
    <w:multiLevelType w:val="hybridMultilevel"/>
    <w:tmpl w:val="ECC263C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61680B12"/>
    <w:multiLevelType w:val="hybridMultilevel"/>
    <w:tmpl w:val="D8CA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DD"/>
    <w:rsid w:val="000544FF"/>
    <w:rsid w:val="000C250E"/>
    <w:rsid w:val="000E57C7"/>
    <w:rsid w:val="00112185"/>
    <w:rsid w:val="001238E5"/>
    <w:rsid w:val="0018208F"/>
    <w:rsid w:val="001879CE"/>
    <w:rsid w:val="001F35E9"/>
    <w:rsid w:val="0023374D"/>
    <w:rsid w:val="002C2AA5"/>
    <w:rsid w:val="002E4198"/>
    <w:rsid w:val="0030479A"/>
    <w:rsid w:val="0032639D"/>
    <w:rsid w:val="00355537"/>
    <w:rsid w:val="00363E37"/>
    <w:rsid w:val="003B48B6"/>
    <w:rsid w:val="003F4379"/>
    <w:rsid w:val="004718BD"/>
    <w:rsid w:val="00481AF2"/>
    <w:rsid w:val="00495E67"/>
    <w:rsid w:val="004F0001"/>
    <w:rsid w:val="005B160D"/>
    <w:rsid w:val="005F3B15"/>
    <w:rsid w:val="00615AEF"/>
    <w:rsid w:val="00687526"/>
    <w:rsid w:val="006E586A"/>
    <w:rsid w:val="006F303D"/>
    <w:rsid w:val="0071461E"/>
    <w:rsid w:val="00717950"/>
    <w:rsid w:val="00771792"/>
    <w:rsid w:val="007927DD"/>
    <w:rsid w:val="00794172"/>
    <w:rsid w:val="007F14DB"/>
    <w:rsid w:val="00804365"/>
    <w:rsid w:val="008179B0"/>
    <w:rsid w:val="00843A5C"/>
    <w:rsid w:val="009107EB"/>
    <w:rsid w:val="00934B19"/>
    <w:rsid w:val="00A36C2F"/>
    <w:rsid w:val="00AD443F"/>
    <w:rsid w:val="00B46769"/>
    <w:rsid w:val="00BE5949"/>
    <w:rsid w:val="00BF42EF"/>
    <w:rsid w:val="00C6673D"/>
    <w:rsid w:val="00C753F0"/>
    <w:rsid w:val="00C861DB"/>
    <w:rsid w:val="00D53046"/>
    <w:rsid w:val="00D55C7F"/>
    <w:rsid w:val="00DC5D9C"/>
    <w:rsid w:val="00DD4340"/>
    <w:rsid w:val="00E223AC"/>
    <w:rsid w:val="00E753D2"/>
    <w:rsid w:val="00E8251F"/>
    <w:rsid w:val="00E8518D"/>
    <w:rsid w:val="00EA3668"/>
    <w:rsid w:val="00F246C1"/>
    <w:rsid w:val="7584BE4A"/>
    <w:rsid w:val="7ACFC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857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4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4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94172"/>
    <w:pPr>
      <w:ind w:left="720"/>
      <w:contextualSpacing/>
    </w:pPr>
  </w:style>
  <w:style w:type="table" w:styleId="TableGrid">
    <w:name w:val="Table Grid"/>
    <w:basedOn w:val="TableNormal"/>
    <w:uiPriority w:val="59"/>
    <w:rsid w:val="004F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D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8D"/>
  </w:style>
  <w:style w:type="paragraph" w:styleId="Footer">
    <w:name w:val="footer"/>
    <w:basedOn w:val="Normal"/>
    <w:link w:val="FooterChar"/>
    <w:uiPriority w:val="99"/>
    <w:unhideWhenUsed/>
    <w:rsid w:val="00E8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8D"/>
  </w:style>
  <w:style w:type="paragraph" w:styleId="NoSpacing">
    <w:name w:val="No Spacing"/>
    <w:uiPriority w:val="1"/>
    <w:qFormat/>
    <w:rsid w:val="00D55C7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47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4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4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94172"/>
    <w:pPr>
      <w:ind w:left="720"/>
      <w:contextualSpacing/>
    </w:pPr>
  </w:style>
  <w:style w:type="table" w:styleId="TableGrid">
    <w:name w:val="Table Grid"/>
    <w:basedOn w:val="TableNormal"/>
    <w:uiPriority w:val="59"/>
    <w:rsid w:val="004F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D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8D"/>
  </w:style>
  <w:style w:type="paragraph" w:styleId="Footer">
    <w:name w:val="footer"/>
    <w:basedOn w:val="Normal"/>
    <w:link w:val="FooterChar"/>
    <w:uiPriority w:val="99"/>
    <w:unhideWhenUsed/>
    <w:rsid w:val="00E8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8D"/>
  </w:style>
  <w:style w:type="paragraph" w:styleId="NoSpacing">
    <w:name w:val="No Spacing"/>
    <w:uiPriority w:val="1"/>
    <w:qFormat/>
    <w:rsid w:val="00D55C7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47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ockrover.com/blog-battle-of-brand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ockrover.com/video-webinar-march-midness-2015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tockrover.com/video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stockrover.com/help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tockrover.com/blog-comcast-or-dish.html?from=all" TargetMode="External"/><Relationship Id="rId14" Type="http://schemas.openxmlformats.org/officeDocument/2006/relationships/hyperlink" Target="http://www.stockrover.com/blog-panera-or-chipotl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0F2A-90FE-4063-BC44-466D8BFC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BKacha</dc:creator>
  <cp:lastModifiedBy>BKacha</cp:lastModifiedBy>
  <cp:revision>4</cp:revision>
  <cp:lastPrinted>2016-02-23T21:55:00Z</cp:lastPrinted>
  <dcterms:created xsi:type="dcterms:W3CDTF">2016-02-23T21:55:00Z</dcterms:created>
  <dcterms:modified xsi:type="dcterms:W3CDTF">2016-02-23T22:02:00Z</dcterms:modified>
</cp:coreProperties>
</file>